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86R13090 GRM-F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sale-leaseback transactions.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341.001(9),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"Loan" has the meaning assigned by Section 301.002 and includes [</w:t>
      </w:r>
      <w:r>
        <w:rPr>
          <w:strike/>
        </w:rPr>
        <w:t xml:space="preserve">a sale-leaseback transaction and</w:t>
      </w:r>
      <w:r>
        <w:t xml:space="preserve">] a deferred presentment transaction.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341.001(10), 342.009, and 349.503, Finance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sale-leaseback transaction entered into on or after the effective date of this Act. </w:t>
      </w:r>
      <w:r>
        <w:t xml:space="preserve"> </w:t>
      </w:r>
      <w:r>
        <w:t xml:space="preserve">A sale-leaseback transaction entered into before the effective date of this Act is governed by the law in effect on the date the sale-leaseback transaction was entered into,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