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86R10050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3297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revocation of community supervision for a violation of a condition of community supervision involving the commission of an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42A.751, Code of Criminal Procedure, is amended by adding Subsection (h-1) to read as follows: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Notwithstanding Subsection (d), the court may not revoke the community supervision of a defendant for a violation of a condition of community supervision that involves being arrested for or charged with an offense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convicted of the offense;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offense is an offense under Title 5, Penal Code, or listed in Article 42A.054(a).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person on community supervision on or after the effective date of this Act, regardless of whether the person was placed on community supervision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