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mediation requirements for balance billing to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(1), (2-a), (2-b), and (3) and adding Subdivision (2-c) to read as follows:</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1551, 1575, or 1579;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an administrating firm for an eligible plan for which an election is made under Section 1467.0021</w:t>
      </w:r>
      <w:r>
        <w:t xml:space="preserve">.</w:t>
      </w:r>
    </w:p>
    <w:p w:rsidR="003F3435" w:rsidRDefault="0032493E">
      <w:pPr>
        <w:spacing w:line="480" w:lineRule="auto"/>
        <w:ind w:firstLine="1440"/>
        <w:jc w:val="both"/>
      </w:pPr>
      <w:r>
        <w:t xml:space="preserve">(2-a)</w:t>
      </w:r>
      <w:r xml:space="preserve">
        <w:t> </w:t>
      </w:r>
      <w:r xml:space="preserve">
        <w:t> </w:t>
      </w:r>
      <w:r>
        <w:rPr>
          <w:u w:val="single"/>
        </w:rPr>
        <w:t xml:space="preserve">"Eligible plan" means a managed care plan that is a self-funded or self-insured employee welfare benefit plan that provides health benefits and is established in accordance with the Employee Retirement Income Security Act of 1974 (29 U.S.C. Section 1001 et seq.).</w:t>
      </w:r>
    </w:p>
    <w:p w:rsidR="003F3435" w:rsidRDefault="0032493E">
      <w:pPr>
        <w:spacing w:line="480" w:lineRule="auto"/>
        <w:ind w:firstLine="1440"/>
        <w:jc w:val="both"/>
      </w:pPr>
      <w:r>
        <w:rPr>
          <w:u w:val="single"/>
        </w:rPr>
        <w:t xml:space="preserve">(2-b)</w:t>
      </w:r>
      <w:r xml:space="preserve">
        <w:t> </w:t>
      </w:r>
      <w:r xml:space="preserve">
        <w:t> </w:t>
      </w:r>
      <w:r>
        <w:t xml:space="preserve">"Emergency care" has the meaning assigned by Section 1301.155.</w:t>
      </w:r>
    </w:p>
    <w:p w:rsidR="003F3435" w:rsidRDefault="0032493E">
      <w:pPr>
        <w:spacing w:line="480" w:lineRule="auto"/>
        <w:ind w:firstLine="1440"/>
        <w:jc w:val="both"/>
      </w:pPr>
      <w:r>
        <w:rPr>
          <w:u w:val="single"/>
        </w:rPr>
        <w:t xml:space="preserve">(2-c)</w:t>
      </w:r>
      <w:r xml:space="preserve">
        <w:t> </w:t>
      </w:r>
      <w:r>
        <w:t xml:space="preserve">[</w:t>
      </w:r>
      <w:r>
        <w:rPr>
          <w:strike/>
        </w:rPr>
        <w:t xml:space="preserve">(2-b)</w:t>
      </w:r>
      <w:r>
        <w:t xml:space="preserve">]</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1467.002, Insurance Code, is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a preferred provider benefit plan offered by an insurer under Chapter 1301;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administrator of a health benefit plan, other than a health maintenance organization plan, under Chapter 1551, 1575, or 1579</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eligible plan for which the plan sponsor makes an election under Section 1467.0021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1467, Insurance Code, is amended by adding Section 1467.0021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1467.0021.</w:t>
      </w:r>
      <w:r>
        <w:rPr>
          <w:u w:val="single"/>
        </w:rPr>
        <w:t xml:space="preserve"> </w:t>
      </w:r>
      <w:r>
        <w:rPr>
          <w:u w:val="single"/>
        </w:rPr>
        <w:t xml:space="preserve"> </w:t>
      </w:r>
      <w:r>
        <w:rPr>
          <w:u w:val="single"/>
        </w:rPr>
        <w:t xml:space="preserve">ELECTIVE APPLICABILITY. </w:t>
      </w:r>
      <w:r>
        <w:rPr>
          <w:u w:val="single"/>
        </w:rPr>
        <w:t xml:space="preserve"> </w:t>
      </w:r>
      <w:r>
        <w:rPr>
          <w:u w:val="single"/>
        </w:rPr>
        <w:t xml:space="preserve">(a)  A plan sponsor of an eligible plan may elect on an annual basis for this chapter to apply to the plan.  A sponsor making an election shall provide written notice of the election to the department in the form and manner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administrator of an eligible plan for which an election is made under Subsection (a) shall ensure that the plan and any evidence of coverage complies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Insurance shall adopt rules necessary to implement Section 1467.0021, Insurance Code, as added by this Act, not later than December 31,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managed care plan that is delivered, issued for delivery, or renewed on or after January 1, 2020.  A managed care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