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86R25888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H.B.</w:t>
      </w:r>
      <w:r xml:space="preserve">
        <w:t> </w:t>
      </w:r>
      <w:r>
        <w:t xml:space="preserve">No.</w:t>
      </w:r>
      <w:r xml:space="preserve">
        <w:t> </w:t>
      </w:r>
      <w:r>
        <w:t xml:space="preserve">3303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involving a violation of a condition of community supervision committed by a defendant who is the sole caretaker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42A.751, Code of Criminal Procedure, is amended by adding Subsections (m), (n), and (o)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When considering whether to revoke, continue, or modify the community supervision of a defendant for a violation of a condition of community supervision, the court shall, unless the violation involves being arrested for, charged with, or convicted of an offense other than a traffic offense that is punishable by fine only, take into consideration whether the defendant is the sole caretaker of a child.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attorney representing the state shall include in a motion to revoke, continue, or modify community supervision a statement from the defendant's supervision officer regarding whether the defendant is a sole caretaker of a child.</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In this article, "sole caretaker of a child" means a person who has assumed or will soon assume sole responsibility for a dependent child younger than 18 years of age by providing for the child's needs, including housing, health care, financial support, education, family support, or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person on community supervision on or after the effective date of this Act, regardless of whether the person was placed on community supervision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