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86R14061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3303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revocation of community supervision for a violation of a condition of community supervision committed by a defendant who is the primary caretaker of a child or is pregnant.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42A.751, Code of Criminal Procedure,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(d), the court may not revoke the community supervision of a defendant for a violation of a condition of community supervision if, at the revocation hearing,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is the primary caretaker of a child younger than 18 years of age or is pregnant;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violation does not involve being arrested for, charged with, or convicted of an offense that is punishable as a Class B misdemeanor or any higher category of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