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86R14061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3303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revocation of community supervision for a violation of a condition of community supervision committed by a defendant who is the primary caretaker of a child or is pregnant.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42A.751, Code of Criminal Procedure,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Notwithstanding Subsection (d), the court may not revoke the community supervision of a defendant for a violation of a condition of community supervision if, at the revocation hearing,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is the primary caretaker of a child younger than 18 years of age or is pregnant;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does not involve being arrested for, charged with, or convicted of an offense that is punishable as a Class B misdemeanor or any higher category of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person on community supervision on or after the effective date of this Act, regardless of whether the person was placed on community supervision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