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86R19426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health and wellness center fee at the University of Houston-Victoria.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54.5406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54.5406.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WELLNESS CENTER FEE; UNIVERSITY OF HOUSTON-VICTORIA.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of the University of Houston System may charge each student enrolled at the University of Houston-Victoria a health and wellness center fee. The fee may be used only for the purpose of financing, constructing, operating, maintaining, improving, and equipping a health and wellness center at the University of Houston-Victoria. </w:t>
      </w:r>
      <w:r>
        <w:rPr>
          <w:u w:val="single"/>
        </w:rPr>
        <w:t xml:space="preserve"> </w:t>
      </w:r>
      <w:r>
        <w:rPr>
          <w:u w:val="single"/>
        </w:rPr>
        <w:t xml:space="preserve">A fee charged under this section is in addition to any use or service fee authorized to be charged under other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may not be charged unless the charging of the fee is approved by a majority vote of the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a fee charged under this section may not exceed: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$100 per student for each summer session of 10 weeks or longer;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 per student for each summer session of less than 10 weeks.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from a fee charged under this section shall be deposited to the credit of an account known as the University of Houston-Victoria Health and Wellness Center Fee Account under the control of the university's student fee advisory committee. </w:t>
      </w:r>
      <w:r>
        <w:rPr>
          <w:u w:val="single"/>
        </w:rPr>
        <w:t xml:space="preserve"> </w:t>
      </w:r>
      <w:r>
        <w:rPr>
          <w:u w:val="single"/>
        </w:rPr>
        <w:t xml:space="preserve">Annually, the committee shall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activities. </w:t>
      </w:r>
      <w:r>
        <w:rPr>
          <w:u w:val="single"/>
        </w:rPr>
        <w:t xml:space="preserve"> </w:t>
      </w:r>
      <w:r>
        <w:rPr>
          <w:u w:val="single"/>
        </w:rPr>
        <w:t xml:space="preserve">The president shall submit the budget to the board of regents as part of the university's institutional budget.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may make changes in the budget that the board determines are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regents may increase the amount of a fee charged under this section, except that a fee increase by 10 percent or more of the amount of the fee charged during the preceding academic year must be approved by a majority vote of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is not considered in determining the maximum amount of student services fees that may be charged under Section 54.503.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determining whether to waive the imposition of the fee as provided under Section 54.5035, a student is not reasonably able to use the health and wellness center for which a fee is imposed under this section if the student lives more than 50 miles outside the corporate limits of Victoria,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