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86R13128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3313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provided on an application for a ballot to be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w:t>
      </w:r>
      <w:r>
        <w:rPr>
          <w:u w:val="single"/>
        </w:rPr>
        <w:t xml:space="preserve">;</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month, day, and year of the applicant's birth;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applicant's Texas driver's license number or the number of a personal identification card issued by the Department of Public Safety;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applicant has not been issued a number described by Paragraph (A), the last four digits of the applicant's social security number;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statement by the applicant that the applicant has not been issued a number described by Paragraph (A) or (B)</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space for providing the month, day, and year of the applicant's birth;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space or box for an applicant to provide 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applicant's Texas driver's license number or the number of a personal identification card issued by the Department of Public Safety;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last four digits of the applicant's social security number;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statement by the applicant that the applicant has not been issued a number described by Paragraph (A) or (B)</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