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86R13501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groundwater impact contingency planning by pipeline operators.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J, Chapter 26, Water Code, is amended by adding Section 26.409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26.409.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CONTINGENCY PLANNING FOR PIPELINES.  (a) The commission by rule shall require the operator of a pipeline that is under the jurisdiction of the pipeline safety and regulatory program described by Section 81.071, Natural Resources Code, to submit to the commission a site-specific contingency plan that describes measures to be taken to control, contain, and collect any discharge of fluids from the pipeline to minimize impacts to groundwater in this state.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reject a plan submitted under Subsection (a), and require a new plan, if the commission determines that the submitted plan is insufficient to safeguard present and future groundwater supplies.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send each plan accepted under this section to the Pipeline and Hazardous Materials Safety Administration or a successor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