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86R11649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municipality to require that an intrastate pipeline be buried to a certain depth.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211, Local Government Code, is amended by adding Subchapter Z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Z.  MISCELLANEOUS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211.901.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PIPELINES.  (a)  This section applies only to an intrastate pipeline that transports hazardous liquid, as defined by Section 117.001, Natural Resources Code, carbon dioxide, or natural gas.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may require a pipeline to be buried to a depth of not more than 12 feet.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case of a conflict between this section and Chapter 81, 111, or 117, Natural Resources Code, or Chapter 121, Utilities Code, this section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