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86R11606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3334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waiver of continuing education requirements for certain insurance adjusters.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4101.060, Insurance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4004.051, the department shall waive any continuing education requirement imposed under this chapter or Chapter 4004 for an adjuster who, during the license period for which the continuing education is required, receives a certificate of completion of a continuing education program issued by a professional organization of adjusters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hours required to complete the continuing education program is not less than the number of hours of continuing education that an adjuster is required to complete during the license period under Sections 4004.053 and 4004.054;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content of the continuing education program includes the content required under Section 4004.105.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1, 2019, the commissioner of insurance shall adopt the rules necessary to implement Section 4101.060(d), Insurance Code, as added by this Act.</w:t>
      </w:r>
    </w:p>
    <w:p w:rsidR="003F3435" w:rsidRDefault="0032493E">
      <w:pPr>
        <w:spacing w:line="480" w:lineRule="auto"/>
        <w:ind w:firstLine="720"/>
        <w:jc w:val="both"/>
      </w:pPr>
      <w:r>
        <w:t xml:space="preserve">(b)</w:t>
      </w:r>
      <w:r xml:space="preserve">
        <w:t> </w:t>
      </w:r>
      <w:r xml:space="preserve">
        <w:t> </w:t>
      </w:r>
      <w:r>
        <w:t xml:space="preserve">The change in law made by Section 4101.060(d), Insurance Code, as added by this Act, applies to continuing education requirements for an insurance adjuster's license period beginning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