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86R11124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adding a dwelling unit that has individual unit metering to an electric service plan; imposing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184, Utilities Code, is amended by adding Section 184.015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184.015.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 METER PROGRAMS.  (a)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"Dwelling unit" includes a manufactured home in a manufactured home rental community.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"Electric service plan" includes a plan offered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provider, as defined by Section 31.002;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electric cooperative, as defined by Section 11.003;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municipally owned utility, as defined by Section 11.003.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"Manufactured home rental community" has the meaning assigned by Section 13.501, Water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"Occupant" means a person who owns or rents a dwelling unit.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owner, operator, or manager of an apartment house, single-family home, or manufactured home rental community that has individual utility metering may add a dwelling unit to the electric service plan that provides electric service to the owner, operator, or manager only with the written consent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owner-occupant;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 occupants renting the unit.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owner, operator, or manager of an apartment house, single-family home, or manufactured home rental community who adds a dwelling unit to an electric service plan in accordance with Subsection (b)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the electric meter for the unit in the name of the owner, operator, or manager;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charge the occupants of the unit for the cost of the electric service provided to the unit and a reasonable administrative fee.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owner, operator, or manager of an apartment house, single-family home, or manufactured home rental community may maintain a water or gas meter in the name of the owner, operator, or manager, and charge occupants of a dwelling unit for the cost of the water or gas utility service provided to the unit and a reasonable administrative fee.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action taken by an owner, operator, or manager of an apartment home, single-family home, or manufactured home rental community under Subsection (b) or (c) does not constitute the provision of electric service for compensation.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as necessary to implement this section and to ensure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occupant of a dwelling unit has sufficient information to provide informed, written consent to add a dwelling unit to an electric service plan in accordance with Subsection (b);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owner, operator, or manager of an apartment home, single-family home, or manufactured home rental community fairly allocates the cost of electric, gas, and water utility services between occupants in a dwelling unit when multiple occupants are billed separately;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owner, operator, or manager of an apartment home, single-family home, or manufactured home rental community maintains adequate records for each dwelling unit, including monthly consumption billing and payment records, and 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makes the records available for inspection by occupants of the unit during normal business hours;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third party maintains the records, provides a clear description of the third party and the third party's contact information in each billing statement sent to occupants.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184.071,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184.071.</w:t>
      </w:r>
      <w:r xml:space="preserve">
        <w:t> </w:t>
      </w:r>
      <w:r xml:space="preserve">
        <w:t> </w:t>
      </w:r>
      <w:r>
        <w:t xml:space="preserve">LIABILITY.  (a) A landlord </w:t>
      </w:r>
      <w:r>
        <w:rPr>
          <w:u w:val="single"/>
        </w:rPr>
        <w:t xml:space="preserve">or manager</w:t>
      </w:r>
      <w:r>
        <w:t xml:space="preserve"> who violates a commission rule relating to submetering of electric utilities consumed exclusively in a tenant's dwelling unit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 rule relating to the allocation of central system utility costs or nonsubmetered master metered electric utility costs</w:t>
      </w:r>
      <w:r>
        <w:rPr>
          <w:u w:val="single"/>
        </w:rPr>
        <w:t xml:space="preserve">, or a rule adopted under Section 184.015</w:t>
      </w:r>
      <w:r>
        <w:t xml:space="preserve"> is liable to the tenant </w:t>
      </w:r>
      <w:r>
        <w:rPr>
          <w:u w:val="single"/>
        </w:rPr>
        <w:t xml:space="preserve">or an occupant</w:t>
      </w:r>
      <w:r>
        <w:t xml:space="preserve">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three times the amount of any overcharge;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civil penalty equal to one month's rent;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reasonable attorney's fees;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court costs.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landlord </w:t>
      </w:r>
      <w:r>
        <w:rPr>
          <w:u w:val="single"/>
        </w:rPr>
        <w:t xml:space="preserve">or manager</w:t>
      </w:r>
      <w:r>
        <w:t xml:space="preserve"> is not liable for the civil penalty provided by Subsection (a)(2) if the landlord </w:t>
      </w:r>
      <w:r>
        <w:rPr>
          <w:u w:val="single"/>
        </w:rPr>
        <w:t xml:space="preserve">or manager</w:t>
      </w:r>
      <w:r>
        <w:t xml:space="preserve"> proves that the [</w:t>
      </w:r>
      <w:r>
        <w:rPr>
          <w:strike/>
        </w:rPr>
        <w:t xml:space="preserve">landlord's</w:t>
      </w:r>
      <w:r>
        <w:t xml:space="preserve">] violation of the rule was an unintentional mistake made in good faith.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