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86R19607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property from municipal drainage service charges.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552.053, Local Government Code, is amended by adding Subsections (d-2) and (d-3)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exempt property from all or a portion of drainage charges under Section 552.047 if the property is used as the principal residence of an individual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disabled as defined by Section 11.13(m), Tax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65 years of age or 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veteran of the armed services of the United States;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armed services of the United States on active deployment.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may impose additional eligibility requirements for an exemption authorized under Subsection (d-2).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