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on which the Texas Animal Health Commission has established a temporary quarantine for ticks for appraisal for ad valorem tax purposes as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23, Tax Code, is amended by adding Section 23.426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entitlement of an individual to have land the individual owns designated for agricultural use under this subchapter does not end because the individual ceases exclusively or continuously using the land for agriculture as an occupation or a business venture for profit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continues to qualify for the designation under Section 23.42.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DUE TO QUARANTINE FOR TICKS.  (a)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for the period prescribed by Subsection (b) if the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a temporary quarantine established at any time during the tax year by the Texas Animal Health Commission for the purpose of regulating the handling of livestock and eradicating ticks or exposure to ticks under Chapter 167,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appraised under this subchapter primarily on the basis of the livestock located in the area subject to quarantine in the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continues to qualify for appraisal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an additional tax imposed as a result of a change of use of land appraised under Subchapter C or D,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3348 was passed by the House on April 11,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3348 was passed by the Senate on May 8,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