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86R7947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3349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drug tests administered to employees and independent contractors of state agencies and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6, Government Code, is amended by adding Chapter 620 to read as follows:</w:t>
      </w:r>
    </w:p>
    <w:p w:rsidR="003F3435" w:rsidRDefault="0032493E">
      <w:pPr>
        <w:spacing w:line="480" w:lineRule="auto"/>
        <w:jc w:val="center"/>
      </w:pPr>
      <w:r>
        <w:rPr>
          <w:u w:val="single"/>
        </w:rPr>
        <w:t xml:space="preserve">CHAPTER 620. DRUG TESTING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"Drug test" means a technical analysis of an individual's biological specimen to determine the presence or absence of specified drugs or metabolites.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"Peace officer" means a person elected, employed, or appointed as a peace officer under Article 2.12, Code of Criminal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620.002.</w:t>
      </w:r>
      <w:r>
        <w:rPr>
          <w:u w:val="single"/>
        </w:rPr>
        <w:t xml:space="preserve"> </w:t>
      </w:r>
      <w:r>
        <w:rPr>
          <w:u w:val="single"/>
        </w:rPr>
        <w:t xml:space="preserve"> </w:t>
      </w:r>
      <w:r>
        <w:rPr>
          <w:u w:val="single"/>
        </w:rPr>
        <w:t xml:space="preserve">EXCEPTION.  This chapter does not apply to a peace officer who is elected, employed, or appointed by a state agency or political subdivision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620.003.</w:t>
      </w:r>
      <w:r>
        <w:rPr>
          <w:u w:val="single"/>
        </w:rPr>
        <w:t xml:space="preserve"> </w:t>
      </w:r>
      <w:r>
        <w:rPr>
          <w:u w:val="single"/>
        </w:rPr>
        <w:t xml:space="preserve"> </w:t>
      </w:r>
      <w:r>
        <w:rPr>
          <w:u w:val="single"/>
        </w:rPr>
        <w:t xml:space="preserve">PROHIBITED DRUG TESTING.  A state agency or a political subdivision of this state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drug testing policy that requires an employee or independent contractor of the agency or political subdivision as a condition of employment or contract to submit to a drug test the intent of which is to screen for the presence of tetrahydrocannabinols or cannabidiol indicating the use of marihuana or low-THC cannabis;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 or require the administration to the employee or contractor as a condition of employment or contract of a drug test the intent of which is to screen for the presence of tetrahydrocannabinols or cannabidiol indicating the use of marihuana or low-THC cannabis;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for the employee or contractor as a condition of employment or contract a test result that is negative for the presence of tetrahydrocannabinols or cannabidiol.</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620.004.</w:t>
      </w:r>
      <w:r>
        <w:rPr>
          <w:u w:val="single"/>
        </w:rPr>
        <w:t xml:space="preserve"> </w:t>
      </w:r>
      <w:r>
        <w:rPr>
          <w:u w:val="single"/>
        </w:rPr>
        <w:t xml:space="preserve"> </w:t>
      </w:r>
      <w:r>
        <w:rPr>
          <w:u w:val="single"/>
        </w:rPr>
        <w:t xml:space="preserve">RELIEF AVAILABLE.  (a)  A person may assert an actual or threatened violation of Section 620.003 as a claim or defense in a judicial or administrative proceeding and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compensatory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declaratory relief;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appropriate relief, including reasonable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person may commence an action under this section and relief may be granted regardless of whether the person has sought or exhausted available administrative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620.005.</w:t>
      </w:r>
      <w:r>
        <w:rPr>
          <w:u w:val="single"/>
        </w:rPr>
        <w:t xml:space="preserve"> </w:t>
      </w:r>
      <w:r>
        <w:rPr>
          <w:u w:val="single"/>
        </w:rPr>
        <w:t xml:space="preserve"> </w:t>
      </w:r>
      <w:r>
        <w:rPr>
          <w:u w:val="single"/>
        </w:rPr>
        <w:t xml:space="preserve">IMMUNITY WAIVED.  A person who alleges a violation of Section 620.003 may sue the governmental entity for the relief provided under Section 620.004.  Sovereign or governmental immunity, as applicable, is waived and abolished to the extent of liability for that relief.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administration of a drug testing policy or a drug test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