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86R11762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3356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municipal hotel occupancy tax revenue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351.101, Tax Code, is amended by adding Subsection (q) to read as follows: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In addition to the purposes provided by Subsection (a), a municipality with a population of more than 48,000 but less than 95,000 that is located in two counties, one of which has a population of at least 900,000 but less than 1.7 million, may use revenue from the municipal hotel occupancy tax to promote tourism and the convention and hotel industry by constructing, improving, equipping, repairing, maintaining, operating, or expanding a coliseum or multiuse facility if the majority of the events at the coliseum or facility attract tourists who substantially increase economic activity at hotels in the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