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86R13330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3357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technical violations of conditions of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P, Chapter 42A, Code of Criminal Procedure, is amended by adding Article 42A.7555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42A.7555.</w:t>
      </w:r>
      <w:r>
        <w:rPr>
          <w:u w:val="single"/>
        </w:rPr>
        <w:t xml:space="preserve"> </w:t>
      </w:r>
      <w:r>
        <w:rPr>
          <w:u w:val="single"/>
        </w:rPr>
        <w:t xml:space="preserve"> </w:t>
      </w:r>
      <w:r>
        <w:rPr>
          <w:u w:val="single"/>
        </w:rPr>
        <w:t xml:space="preserve">PROCEDURES APPLICABLE TO CERTAIN TECHNICAL VIOLATIONS.  (a)  This article applies to any violation of a condition of community supervision by a defendant on community supervision for a nonviolent offense that is punishable as a state jail felony or a felony of the third degree, other than a violation that involves: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being arrested for, charged with, or convicted of an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failing to report to a supervision officer as directed for 180 days or more;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contacting the victim of the offense for which the defendant was placed on community supervision.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and except as provided by Subsection (c), if after a hearing under Article 42A.751(d) the judge determines the defendant violated only a condition of community supervision to which this article applies, the judge may not revoke the defendant's community supervision but may continue, extend, or modify the community supervision.  If the judge requires the defendant to serve a term of confinement based on a violation to which this article applies, the term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45 days if the defendant's community supervision has not previously been continued, extended, or modified under this subsection;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90 days if the defendant's community supervision has previously been continued, extended, or modified under this subsection, subject to Subdivision (3);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180 days if the defendant's community supervision has previously been continued, extended, or modified two times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article does not limit the authority of a judge to revoke a defendant's community supervision or to impose a term of confinement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of community supervision not described by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of community supervision described by Subsection (a) if the defendant's community supervision has previously been continued, extended, or modified under Subsection (b) three or more times.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judge may credit toward any term of confinement a defendant is required to serve under Subsection (b) time spent by the defendant participating in alcohol or substance abuse counseling or treatment.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article, if the judge determines that the defendant violated one or more conditions of community supervision to which this article applies and those violations arose out of the same transaction, the judge shall treat the violations as a single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509, Government Code, is amended by adding Section 509.018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509.018.</w:t>
      </w:r>
      <w:r>
        <w:rPr>
          <w:u w:val="single"/>
        </w:rPr>
        <w:t xml:space="preserve"> </w:t>
      </w:r>
      <w:r>
        <w:rPr>
          <w:u w:val="single"/>
        </w:rPr>
        <w:t xml:space="preserve"> </w:t>
      </w:r>
      <w:r>
        <w:rPr>
          <w:u w:val="single"/>
        </w:rPr>
        <w:t xml:space="preserve">DISTRIBUTION OF COST SAVINGS RELATING TO TECHNICAL VIOLATIONS. </w:t>
      </w:r>
      <w:r>
        <w:rPr>
          <w:u w:val="single"/>
        </w:rPr>
        <w:t xml:space="preserve"> </w:t>
      </w:r>
      <w:r>
        <w:rPr>
          <w:u w:val="single"/>
        </w:rPr>
        <w:t xml:space="preserve">Notwithstanding any other provision of this chapter, the Texas Department of Criminal Justice shall adopt policies and procedures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cost savings to the Texas Department of Criminal Justice realized through continuing, extending, or modifying the community supervision of a defendant who commits a technical violation as provided by Article 42A.7555, Code of Criminal Procedure, instead of revoking the defendant's community supervision;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one-third of the cost savings described by Subdivision (1) to the division to be allocated to individual departments and used for the same purpose that state aid is used under Section 509.011;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one-third of the cost savings described by Subdivision (1) to the division to be used for making payments to departments in accordance with Section 509.0071(e).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42A.7555, Code of Criminal Procedure, as added by this Act, applies to a person on community supervision on or after the effective date of this Act, regardless of whether the person was placed on community supervision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