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86R8897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business advisory council on disaster recovery and mitigation.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 Natural Resources Code, is amended by adding Section 31.069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31.069.</w:t>
      </w:r>
      <w:r>
        <w:rPr>
          <w:u w:val="single"/>
        </w:rPr>
        <w:t xml:space="preserve"> </w:t>
      </w:r>
      <w:r>
        <w:rPr>
          <w:u w:val="single"/>
        </w:rPr>
        <w:t xml:space="preserve"> </w:t>
      </w:r>
      <w:r>
        <w:rPr>
          <w:u w:val="single"/>
        </w:rPr>
        <w:t xml:space="preserve">BUSINESS ADVISORY COUNCIL ON DISASTER RECOVERY AND MITIGATION.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council" means the business advisory council on disaster recovery and mitigation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 has the meaning assigned by Section 418.004,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advisory council on disaster recovery and mitigation is established to provide to the commissioner advice and expertise on disaster recovery and mitigation as described by Subsection (g).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six representatives appointed by the commissioner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representing banking and insurance entities in this state that provide mortgage lending and insurance for homeowners and businesses;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representing construction entities in this state engaged in the construction of commercial, industrial, and residential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representing the manufacturers in this state that produce construction materials;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representing the oil and gas refiners and processing industries having major industrial infrastructure in areas of this state adjacent to the Gulf of Mexico that are most vulnerable to damage from hurricanes and flooding;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representing the tourist and hospitality industry in areas of this state adjacent to the Gulf of Mexico that are most vulnerable to damage from hurricanes and flooding;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representing small businesses in this state that would be affected following a disaster by loss of customers, lost employees, and limited insurance.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staggered four-year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council member is not entitled to compensation but is entitled to reimbursement for travel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council members shall elect a presiding officer from among the members.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advice on disaster recovery mitigation and resilience, specifically related to housing;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information on advanced technological systems for disaster construction engineering and other innovative solutions for addressing infrastructure risks;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banking and insurance requirements imposed following a disaster that may affect housing construction and recovery in areas affected by the disaster;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advice during disaster recovery on issues faced by state and local governments;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propose solutions to address inefficiencies or problems in the state or local governmental disaster response with respect to issues described by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the times and locations determined by the presiding officer, not to exceed four meetings each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November 1 of each even-numbered year, the advisory council shall submit a report on the advisory council's activities, advice, and proposed solutions to the commissioner, the Texas Division of Emergency Management, the governor, the lieutenant governor, and the speaker of the house of representatives.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office shall provide administrative support to the advisory council.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Chapter 2110, Government Code, does not apply to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the General Land Office shall appoint to the business advisory council on disaster recovery and mitigation two members to terms expiring February 1, 2021, two members to terms expiring February 1, 2022, and two members to  terms expiring February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