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certain battery-charged fences by municipalities and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BATTERY-CHARGED FENCES.  (a) </w:t>
      </w:r>
      <w:r>
        <w:rPr>
          <w:u w:val="single"/>
        </w:rPr>
        <w:t xml:space="preserve"> </w:t>
      </w:r>
      <w:r>
        <w:rPr>
          <w:u w:val="single"/>
        </w:rPr>
        <w:t xml:space="preserve">In this section, "alarm system" means an alarm system for which a permit may be issued under Subchapter F or F-1, Chapter 214, or Subchapter D, Chapter 233.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 battery-charged fence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interfaces with an alarm system in a manner that enables the fence to cause the connected alarm system to transmit a signal intended to summon law enforcement in response to a burglary;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on property that is not designated by a municipality or county for residential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an energizer that is driven by a commercial storage battery that is not more than 12 volts of direct current;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produces an electric charge on contact that does not exceed energizer characteristics set for electric fence energizers by the International Electrotechnical Commission as published in the commission's standards on June 29, 2018;</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completely surrounded by a nonelectric perimeter fence or wall that is not less than five feet in height;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is not more than the higher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feet in height;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feet higher than the height of the nonelectric perimeter fence or wall;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is marked with conspicuous warning signs that are located on the battery-charged fence at not less than 60-foot intervals and that read: "WARNING--ELECTRIC FENCE."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 municipality or county may not adopt or enforce an ordinance, order,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requires a permit for the installation or use of a battery-charged fence to which this section applies that is in addition to an alarm system permit issued by the municipality or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imposes installation or operational requirements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battery-charged fence that are inconsistent with the standards set by the International Electrotechnical Commission as published on June 29, 2018;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alarm system described by Subsection (b);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prohibits the installation or use of a battery-charged fence.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3371 was passed by the House on April 18, 2019, by the following vote:</w:t>
      </w:r>
      <w:r xml:space="preserve">
        <w:t> </w:t>
      </w:r>
      <w:r xml:space="preserve">
        <w:t> </w:t>
      </w:r>
      <w:r>
        <w:t xml:space="preserve">Yeas 146, Nays 1, 2 present, not voting; </w:t>
      </w:r>
      <w:r>
        <w:t xml:space="preserve">that the House concurred in Senate amendments to H.B. No. 3371 on May 24, 2019, by the following vote:</w:t>
      </w:r>
      <w:r xml:space="preserve">
        <w:t> </w:t>
      </w:r>
      <w:r xml:space="preserve">
        <w:t> </w:t>
      </w:r>
      <w:r>
        <w:t xml:space="preserve">Yeas 132, Nays 7, 2 present, not voting; and that the House adopted H.C.R. No. 186 authorizing certain corrections in H.B. No. 3371 on May 25, 2019, by the following vote: 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p>
    <w:p w:rsidR="003F3435" w:rsidRDefault="0032493E">
      <w:pPr>
        <w:spacing w:line="480" w:lineRule="auto"/>
        <w:ind w:firstLine="720"/>
        <w:jc w:val="both"/>
      </w:pPr>
      <w:r>
        <w:t xml:space="preserve">I certify that H.B. No. 3371 was passed by the Senate, with amendments, on May 22, 2019, by the following vote:</w:t>
      </w:r>
      <w:r xml:space="preserve">
        <w:t> </w:t>
      </w:r>
      <w:r xml:space="preserve">
        <w:t> </w:t>
      </w:r>
      <w:r>
        <w:t xml:space="preserve">Yeas 30, Nays 1; and that the Senate adopted H.C.R. No. 186 authorizing certain corrections in H.B. No. 3371 on May 26, 2019, by the following vote: 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