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86R12014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battery-charged fences by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250.009.</w:t>
      </w:r>
      <w:r>
        <w:rPr>
          <w:u w:val="single"/>
        </w:rPr>
        <w:t xml:space="preserve"> </w:t>
      </w:r>
      <w:r>
        <w:rPr>
          <w:u w:val="single"/>
        </w:rPr>
        <w:t xml:space="preserve"> </w:t>
      </w:r>
      <w:r>
        <w:rPr>
          <w:u w:val="single"/>
        </w:rPr>
        <w:t xml:space="preserve">BATTERY-CHARGED FENCES.  (a) </w:t>
      </w:r>
      <w:r>
        <w:rPr>
          <w:u w:val="single"/>
        </w:rPr>
        <w:t xml:space="preserve"> </w:t>
      </w:r>
      <w:r>
        <w:rPr>
          <w:u w:val="single"/>
        </w:rPr>
        <w:t xml:space="preserve">In this section, "alarm system" means an alarm system for which a permit may be issued under Subchapter F or F-1, Chapter 214, or Subchapter D, Chapter 233.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battery-charged fence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interfaces with an alarm system in a manner that enables the fence to cause the connected alarm system to transmit a signal intended to summon law enforcement in response to a burglary;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on property that is not designated by a municipality or county for residential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energizer that is driven by a commercial storage battery that is not more than 12 volts of direct current;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produces an electric charge on contact that does not exceed energizer characteristics set for electric fence energizers by the International Electrotechnical Commission as published in the commission's standards on June 29, 2018;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completely surrounded by a nonelectric perimeter fence or wall that is not less than five feet in height;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not more than the higher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feet in height;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feet higher than the height of the nonelectric perimeter fence or wall;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marked with conspicuous warning signs that are located on the battery-charged fence at not less than 60-foot intervals and that read: "WARNING--ELECTRIC FENCE."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municipality or county may not adopt or enforce an ordinance, order, or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 permit for the installation or use of a battery-charged fence to which this section applies that is in addition to an alarm system permit issued by the municipality or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imposes installation or operational requirements for the battery-charged fence that are inconsistent with the standards described by Subsection (b);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installation or use of a battery-charged fence.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