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86R10356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3375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medical examination for foster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266, Family Code, is amended by adding Section 266.014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266.014.</w:t>
      </w:r>
      <w:r>
        <w:rPr>
          <w:u w:val="single"/>
        </w:rPr>
        <w:t xml:space="preserve"> </w:t>
      </w:r>
      <w:r>
        <w:rPr>
          <w:u w:val="single"/>
        </w:rPr>
        <w:t xml:space="preserve"> </w:t>
      </w:r>
      <w:r>
        <w:rPr>
          <w:u w:val="single"/>
        </w:rPr>
        <w:t xml:space="preserve">ANNUAL MEDICAL EXAMINATION REQUIRED; SEXUAL ABUSE OR HUMAN TRAFFICKING REFERRAL.  (a)  For each child in the conservatorship of the department, the department shall make a reasonable effort to obtain consent from a person authorized to provide consent under Section 266.004 or 266.010, as applicable, for the child to receive an annual medical examination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ensure that each child in the conservatorship of the department for whom the department obtains consent under Subsection (a) receives an annual medical examination from a physician or other health care provider authorized under state law to conduct medical examinations. </w:t>
      </w:r>
      <w:r>
        <w:rPr>
          <w:u w:val="single"/>
        </w:rPr>
        <w:t xml:space="preserve"> </w:t>
      </w:r>
      <w:r>
        <w:rPr>
          <w:u w:val="single"/>
        </w:rPr>
        <w:t xml:space="preserve">The examination must include an evaluation of whether the child has been sexually abused or was a victim of human trafficking during the preceding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evaluation or medical examination, the physician or health care provider determines that the child has been sexually abused or was a victim of human trafficking, the physician or health care provider shall refer the child to a specialist who provides medical and psychological treatment for victims of sexual abuse or human trafficking,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ensure that the annual medical examination required by this section is a benefit covered under the STAR Health program or other Medicaid program in which the child is enrolled.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an additional waiver or additional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