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3376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review of ballot proposition language for certain political subdivision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52, Election Code, is amended by adding Section 52.0721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52.0721.</w:t>
      </w:r>
      <w:r>
        <w:rPr>
          <w:u w:val="single"/>
        </w:rPr>
        <w:t xml:space="preserve"> </w:t>
      </w:r>
      <w:r>
        <w:rPr>
          <w:u w:val="single"/>
        </w:rPr>
        <w:t xml:space="preserve"> </w:t>
      </w:r>
      <w:r>
        <w:rPr>
          <w:u w:val="single"/>
        </w:rPr>
        <w:t xml:space="preserve">REVIEW OF BALLOT PROPOSITION LANGUAGE.  (a)  This section applies only to an election on a measure held by a political subdivision located primarily in a county with a population of more than 120,000. This section does not apply to an election for which a statute provides the ballot proposition language.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123rd day before an election, a political subdivision seeking to hold an election on a measure shall submit to the regional presiding judge of the administrative judicial region that the political subdivision is located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ballot proposition language;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brief statement on the purpose of the proposition.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that is located in two or more administrative judicial regions may select the administrative judicial region to which the political subdivision submits the proposition language for review.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regional presiding judge shall appoint three judges from the administrative judicial region to serve on a panel to review ballot proposition language.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45th day after the receipt by the presiding judge of the ballot proposition language, the panel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ballot proposition language under Subsection (f);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disapprove the ballot proposition language and provide the political subdivision with rewritten ballot proposition language under Subsection (g).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panel finds the language of the proposition is clear and understandable to the average voter, the panel shall approve the language of the proposition for the ballot.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panel finds the language of the proposition is not clear and understandable to the average voter, the language is disapproved and may not be used on the ballot at the election.  The panel shall provide the political subdivision with rewritten ballot proposition language that is clear and understandable to the average voter for use in the election.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Following disapproval under Subsection (g), the political subdivision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the election with the rewritten ballot proposition language provided by the panel;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revised ballot proposition language for approval by the panel in the manner provided under Subsections (f) and (g).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To the extent of a conflict between this section and any provision of law requiring a political subdivision to hold an election on a measure within a certain period, this section controls.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The change in law made by this Act applies only to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 later than February 1, 2020, each regional presiding judge of an administrative judicial region shall appoint three judges from the administrative judicial region to serve on a panel to review ballot proposition language.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