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86R28001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3382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3382:</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3382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occupation-related postsecondary educational financial aid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 or private or independent institution of higher education</w:t>
      </w:r>
      <w:r>
        <w:rPr>
          <w:u w:val="single"/>
        </w:rPr>
        <w:t xml:space="preserve">, each college or university described by Section 61.605(a)(4),</w:t>
      </w:r>
      <w:r>
        <w:t xml:space="preserve"> and [</w:t>
      </w:r>
      <w:r>
        <w:rPr>
          <w:strike/>
        </w:rPr>
        <w:t xml:space="preserve">to</w:t>
      </w:r>
      <w:r>
        <w:t xml:space="preserve">]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w:t>
      </w:r>
      <w:r>
        <w:rPr>
          <w:u w:val="single"/>
        </w:rPr>
        <w:t xml:space="preserve">received by an eligible person through any lender that is</w:t>
      </w:r>
      <w:r>
        <w:t xml:space="preserve"> </w:t>
      </w:r>
      <w:r>
        <w:t xml:space="preserve">for education</w:t>
      </w:r>
      <w:r>
        <w:rPr>
          <w:u w:val="single"/>
        </w:rPr>
        <w:t xml:space="preserve">, including undergraduate education,</w:t>
      </w:r>
      <w:r>
        <w:t xml:space="preserve"> 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any public or private institution of higher education, including a loan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