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86R20747 SCL-F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Bell of Kaufman, Holland,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3383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Bell of Montgomery, Bailes</w:t>
      </w:r>
    </w:p>
    <w:p w:rsidR="003F3435" w:rsidRDefault="003F3435"/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definition of a tier 1 county for purposes of municipal annexation.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43.001(2), Local Government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"Tier 1 county" means a county: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with a population of less than 500,000;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that is not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 xml:space="preserve">
        <w:t> </w:t>
      </w:r>
      <w:r xml:space="preserve">
        <w:t> </w:t>
      </w:r>
      <w:r>
        <w:t xml:space="preserve">a county that contains a freshwater fisheries center operated by the [</w:t>
      </w:r>
      <w:r>
        <w:rPr>
          <w:strike/>
        </w:rPr>
        <w:t xml:space="preserve">Texas</w:t>
      </w:r>
      <w:r>
        <w:t xml:space="preserve">] Parks and Wildlife Department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with a population of less than 125,000:</w:t>
      </w:r>
    </w:p>
    <w:p w:rsidR="003F3435" w:rsidRDefault="0032493E">
      <w:pPr>
        <w:spacing w:line="480" w:lineRule="auto"/>
        <w:ind w:firstLine="360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that is adjacent to a county with a population of more than 2.2 million;</w:t>
      </w:r>
    </w:p>
    <w:p w:rsidR="003F3435" w:rsidRDefault="0032493E">
      <w:pPr>
        <w:spacing w:line="480" w:lineRule="auto"/>
        <w:ind w:firstLine="360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that contains any portion of the extraterritorial jurisdiction of a municipality with a population of more than 1.1 million; and</w:t>
      </w:r>
    </w:p>
    <w:p w:rsidR="003F3435" w:rsidRDefault="0032493E">
      <w:pPr>
        <w:spacing w:line="480" w:lineRule="auto"/>
        <w:ind w:firstLine="360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which more than one municipal utility district registered with the Texas Commission on Environmental Quality as being active is located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3383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