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86R8495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Shine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comptroller to conduct a limited-scope review of an appraisal district located in an area declared by the governor to be a disaster area.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5.102, Tax Code, is amended by amending Subsection (a) and adding Subsections (a-1) and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At least once every two years, the comptroller shall review the governance of each appraisal district, </w:t>
      </w:r>
      <w:r>
        <w:rPr>
          <w:u w:val="single"/>
        </w:rPr>
        <w:t xml:space="preserve">the</w:t>
      </w:r>
      <w:r>
        <w:t xml:space="preserve"> taxpayer assistance provided </w:t>
      </w:r>
      <w:r>
        <w:rPr>
          <w:u w:val="single"/>
        </w:rPr>
        <w:t xml:space="preserve">by each appraisal district</w:t>
      </w:r>
      <w:r>
        <w:t xml:space="preserve">, and the operating and appraisal standards, procedures, and methodology used by each appraisal district, to determine compliance with generally accepted standards, procedures, and methodology.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may conduct a limited-scope review in place of the review required by Subsection (a)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appraisal district is established in a county located wholly or partly in an area declared by the governor to be a disaster area during the tax year in which the review is required;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chief appraiser of the appraisal district requests that the review conducted be a limited-scope review;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determines that one of the following circumstances exists and was caused by the disaster: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building used by the appraisal district to conduct business is destroyed or is inaccessible or damaged to the extent that it is unusable for at least 30 days;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appraisal district's records are destroyed or are unusable for at least 30 days;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appraisal district's computer system is destroyed or is unusable for at least 30 days;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due to extraordinary circumstances, the appraisal district does not have the resources to undergo a review under this section unless the review is limited in scope.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 xml:space="preserve">
        <w:t> </w:t>
      </w:r>
      <w:r xml:space="preserve">
        <w:t> </w:t>
      </w:r>
      <w:r>
        <w:t xml:space="preserve">After consultation with the advisory committee created under Section 403.302, Government Code, the comptroller by rule may establish procedures and standards for conducting and scoring </w:t>
      </w:r>
      <w:r>
        <w:rPr>
          <w:u w:val="single"/>
        </w:rPr>
        <w:t xml:space="preserve">a</w:t>
      </w:r>
      <w:r>
        <w:t xml:space="preserve"> </w:t>
      </w:r>
      <w:r>
        <w:t xml:space="preserve">[</w:t>
      </w:r>
      <w:r>
        <w:rPr>
          <w:strike/>
        </w:rPr>
        <w:t xml:space="preserve">the</w:t>
      </w:r>
      <w:r>
        <w:t xml:space="preserve">] review </w:t>
      </w:r>
      <w:r>
        <w:rPr>
          <w:u w:val="single"/>
        </w:rPr>
        <w:t xml:space="preserve">under this section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