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amusement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amusement service is exclusively provided under Subsection (a)(4) if the amusement service is provided at a "designated facility" defined in Section 334.401, Local Government Code, which is also a qualified project as defined in Section 351.1015(a)(5)(B)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3386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3386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