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3394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Transportation; May</w:t>
      </w:r>
      <w:r xml:space="preserve">
        <w:t> </w:t>
      </w:r>
      <w:r>
        <w:t xml:space="preserve">17,</w:t>
      </w:r>
      <w:r xml:space="preserve">
        <w:t> </w:t>
      </w:r>
      <w:r>
        <w:t xml:space="preserve">2019, reported favorably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sickle cell disease awareness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504.671.</w:t>
      </w:r>
      <w:r>
        <w:rPr>
          <w:u w:val="single"/>
        </w:rPr>
        <w:t xml:space="preserve"> </w:t>
      </w:r>
      <w:r>
        <w:rPr>
          <w:u w:val="single"/>
        </w:rPr>
        <w:t xml:space="preserve"> </w:t>
      </w:r>
      <w:r>
        <w:rPr>
          <w:u w:val="single"/>
        </w:rPr>
        <w:t xml:space="preserve">SICKLE CELL DISEASE AWARENESS LICENSE PLATES.  (a) </w:t>
      </w:r>
      <w:r>
        <w:rPr>
          <w:u w:val="single"/>
        </w:rPr>
        <w:t xml:space="preserve"> </w:t>
      </w:r>
      <w:r>
        <w:rPr>
          <w:u w:val="single"/>
        </w:rPr>
        <w:t xml:space="preserve">The department shall issue specialty license plates that include the words "Sickle Cell Matters"</w:t>
      </w:r>
      <w:r>
        <w:rPr>
          <w:u w:val="single"/>
        </w:rPr>
        <w:t xml:space="preserve"> </w:t>
      </w:r>
      <w:r>
        <w:rPr>
          <w:u w:val="single"/>
        </w:rPr>
        <w:t xml:space="preserve">and an image of the burgundy sickle cell ribbon. </w:t>
      </w:r>
      <w:r>
        <w:rPr>
          <w:u w:val="single"/>
        </w:rPr>
        <w:t xml:space="preserve"> </w:t>
      </w:r>
      <w:r>
        <w:rPr>
          <w:u w:val="single"/>
        </w:rPr>
        <w:t xml:space="preserve">The department shall design the plates in consultation with the Sickle Cell Association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Texas Southern University to make grants to a nonprofit organization that has a history of providing services to persons with sickle cell disease for the purpose of providing those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