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86R12710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Cortez, 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addressing workplace bullying in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11.1513, Education Code, is amended by adding Subsection (l)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employment policy must include anti-bullying measures to address bullying in the workplace, including provisions to address the bullying of a teacher by a parent.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