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86R12710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addressing workplace bullying 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11.1513, Education Code, is amended by adding Subsection (l)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(l)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employment policy must include anti-bullying measures to address bullying in the workplace, including provisions to address the bullying of a teacher by a parent.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