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package store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22.06(a),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provided in Section 102.05 of this code and in Subsection (b) of this section, no person who holds a package store permit or owns an interest in a package store may have a direct or indirect interest in any of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manufacturer's, retail dealer's on-premise, or general, branch, or local distributor's license;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wine and beer retailer's, wine and beer retailer's off-premise, </w:t>
      </w:r>
      <w:r>
        <w:rPr>
          <w:u w:val="single"/>
        </w:rPr>
        <w:t xml:space="preserve">wine only package store,</w:t>
      </w:r>
      <w:r>
        <w:t xml:space="preserve"> or mixed beverage permit;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business of any of the permits or licenses listed in Subdivisions (1) and (2)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22.06(a), Alcoholic Beverage Code, as amended by this act, shall not apply with regard to a wine only package store permit which was held by a package store permittee on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