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86R17306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hiring and licensing certain persons as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w:t>
      </w:r>
      <w:r>
        <w:t xml:space="preserve"> </w:t>
      </w:r>
      <w:r>
        <w:t xml:space="preserve">MISCELLANEOUS PROVISIONS RELATING TO [</w:t>
      </w:r>
      <w:r>
        <w:rPr>
          <w:strike/>
        </w:rPr>
        <w:t xml:space="preserve">MUNICIPAL AND COUNTY</w:t>
      </w:r>
      <w:r>
        <w:t xml:space="preserve">] HEALTH AND PUBLIC SAFETY </w:t>
      </w:r>
      <w:r>
        <w:rPr>
          <w:u w:val="single"/>
        </w:rPr>
        <w:t xml:space="preserve">OF MORE THAN ONE TYPE OF LOCAL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COMMISSIONING AND EMPLOYING CERTAIN PERSONS AS PEACE OFFICERS. </w:t>
      </w:r>
      <w:r>
        <w:rPr>
          <w:u w:val="single"/>
        </w:rPr>
        <w:t xml:space="preserve"> </w:t>
      </w:r>
      <w:r>
        <w:rPr>
          <w:u w:val="single"/>
        </w:rPr>
        <w:t xml:space="preserve">Notwithstanding any other law, a political subdivision that commissions and employs peace officers may commission and employ as a peace officer a legal permanent resident of the United States.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1701, Occupations Code, is amended by adding Section 1701.3095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1701.3095.</w:t>
      </w:r>
      <w:r>
        <w:rPr>
          <w:u w:val="single"/>
        </w:rPr>
        <w:t xml:space="preserve"> </w:t>
      </w:r>
      <w:r>
        <w:rPr>
          <w:u w:val="single"/>
        </w:rPr>
        <w:t xml:space="preserve"> </w:t>
      </w:r>
      <w:r>
        <w:rPr>
          <w:u w:val="single"/>
        </w:rPr>
        <w:t xml:space="preserve">LICENSING OF LEGAL PERMANENT RESIDENTS. </w:t>
      </w:r>
      <w:r>
        <w:rPr>
          <w:u w:val="single"/>
        </w:rPr>
        <w:t xml:space="preserve"> </w:t>
      </w:r>
      <w:r>
        <w:rPr>
          <w:u w:val="single"/>
        </w:rPr>
        <w:t xml:space="preserve">The commission shall issue a peace officer license to a person who is a legal permanent resident of the United States if the person meets the requirements of this chapter and the commission's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Law Enforcement shall amend rules as necessary to comply with Section 1701.3095,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