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86R17565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3417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3417:</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3417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municipal ordinances in the municipality's extraterritorial jurisdiction.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212.003,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municipality wholly or partly located in a county with a population of more than 500,000, a municipal ordinance is considered otherwise authorized by state law to be extended into the municipality's extraterritorial jurisdiction under Subsection (a) only if state law explicitly authorizes the specific municipal ordinance to be extended.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