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 Raney</w:t>
      </w:r>
      <w:r xml:space="preserve">
        <w:tab wTab="150" tlc="none" cTlc="0"/>
      </w:r>
      <w:r>
        <w:t xml:space="preserve">H.B.</w:t>
      </w:r>
      <w:r xml:space="preserve">
        <w:t> </w:t>
      </w:r>
      <w:r>
        <w:t xml:space="preserve">No.</w:t>
      </w:r>
      <w:r xml:space="preserve">
        <w:t> </w:t>
      </w:r>
      <w:r>
        <w:t xml:space="preserve">3420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coverage for certain vehicles provided by certain automobile repair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1952, Insurance Code, is amended by adding Section 1952.060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1952.060.</w:t>
      </w:r>
      <w:r>
        <w:rPr>
          <w:u w:val="single"/>
        </w:rPr>
        <w:t xml:space="preserve"> </w:t>
      </w:r>
      <w:r>
        <w:rPr>
          <w:u w:val="single"/>
        </w:rPr>
        <w:t xml:space="preserve"> </w:t>
      </w:r>
      <w:r>
        <w:rPr>
          <w:u w:val="single"/>
        </w:rPr>
        <w:t xml:space="preserve">REQUIRED PROVISION: LIABILITY COVERAGE FOR TEMPORARY VEHICLES DURING POLICY TERM; PRIMARY COVERAGE REQUIRED.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"Repair facility" means a person who rebuilds, repairs, or services a motor vehicle for consideration or under a warranty, service, or maintenance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 relative"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resides in the same household as the insured;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related to the insured within the third degree of consanguinity or affinity as described by Chapter 573,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"Temporary vehicle" includes a vehicle that is loaned or provided to an insured by an automobile repair facility for the insured's use while the insured's vehicle is at the facility for service, repair, or another reason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lawful possession of the insured or resident relative of the insured;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owned by the insured, any resident relative of the insured, or any other person residing in the insured's household;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operated by or in the possession of the insured or resident relative of the insured until the vehicle is returned to the repair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personal automobile insurance policy, including a policy issued by a county mutual insurance company, must define temporary vehicle as defined by this section and include in the policy's primary liability coverage primary liability coverage for a temporary vehicle as a covered vehicle during the policy term.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Coverage under this section is required only for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private passenger automobile;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pickup, utility vehicle, or van with a gross vehicle weight of 25,000 pounds or less that is not used for the delivery or transportation of goods, materials, or supplies, other than samples,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delivery of the goods, materials, or supplies is not the primary use for which the vehicle is employed;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vehicle is used for farming or ranching.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coverage required by this section provides primary coverage for the insured's legal liability for bodily injury and property damage and for damage to the temporary vehicle, not excess coverage. </w:t>
      </w:r>
      <w:r>
        <w:rPr>
          <w:u w:val="single"/>
        </w:rPr>
        <w:t xml:space="preserve"> </w:t>
      </w:r>
      <w:r>
        <w:rPr>
          <w:u w:val="single"/>
        </w:rPr>
        <w:t xml:space="preserve">The coverage must insure: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named in the personal automobile insurance policy;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resident relative of the insured and licensed operator residing in the household except for an individual not covered in a "named driver policy" under Section 1952.0545.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policy limits of a personal automobile insurance policy must be available for the coverage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personal automobile insurance policy that is delivered, issued for delivery, or renewed on or after January 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