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86R11514 CJC/KJE-D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increase in the state sales and use tax rate for the purpose of reducing school district maintenance and operations ad valorem taxes; increasing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151.051(b), Tax Code, is amended to read as follows:</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6.5</w:t>
      </w:r>
      <w:r>
        <w:t xml:space="preserve"> [</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151, Tax Code, is amended by adding Section 151.803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151.803.</w:t>
      </w:r>
      <w:r>
        <w:rPr>
          <w:u w:val="single"/>
        </w:rPr>
        <w:t xml:space="preserve"> </w:t>
      </w:r>
      <w:r>
        <w:rPr>
          <w:u w:val="single"/>
        </w:rPr>
        <w:t xml:space="preserve"> </w:t>
      </w:r>
      <w:r>
        <w:rPr>
          <w:u w:val="single"/>
        </w:rPr>
        <w:t xml:space="preserve">ALLOCATION OF CERTAIN REVENUE TO SCHOOL DISTRICT PROPERTY TAX REDUCTION.  Notwithstanding Section 151.801, the comptroller shall deposit an amount of revenue equal to the proceeds derived from the collection of taxes imposed by this chapter attributable to the portion of the tax rate in excess of 6.25 percent of the sales price of the taxable item sold to the credit of the property tax relief fund.  Money credited to the fund under this section may be appropriated only to the Texas Education Agency for use in providing property tax relief through reduction of the state compression percentage, as defined by Section 42.2516(a),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