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86R5152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driver's licenses and personal identification certificates issued to legal permanent residents of the United States and refugees or asylees lawfully admitted into the United States.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521.101, Transportation Code, is amended by adding Subsection (k-1) to read as follows:</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The department shall include on a personal identification certificate issued to a person who is a legal permanent resident of the United States or refugee or asylee lawfully admitted into the United States an indication that the certificate is not valid proof of identity for voting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521.121, Transportation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include on a driver's license issued to a person who is a legal permanent resident of the United States or refugee or asylee lawfully admitted into the United States an indication that the license is not valid proof of identity for voting purposes.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Sections 521.101 and 521.121, Transportation Code, apply only to a driver's license or personal identification certificate issued or renewed on or after the effective date of this Act.  A driver's license or personal identification certificate issued or renewed before the effective date of this Act is governed by the law in effect when the license or certificate was issued or renewed,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