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Kuempel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distance requirements for premises issued a package store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22, Alcoholic Beverage Code, is amended by adding Section 22.18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22.18.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DISTANCE FROM OTHER PACKAGE STORES.  Except as  provided by Section 109.59, on or after September 1, 2019, the commission may not issue a permit under this chapter for a premises that is located within 5000 feet of the premises of another package store permittee.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109.59(a),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If at the time an original alcoholic beverage permit or license is granted for a premises the premises satisfies the requirements regarding distance from schools, churches, and other types of premises established in this code</w:t>
      </w:r>
      <w:r>
        <w:rPr>
          <w:u w:val="single"/>
        </w:rPr>
        <w:t xml:space="preserve">, including Section 22.18,</w:t>
      </w:r>
      <w:r>
        <w:t xml:space="preserve"> and any other law or ordinance of the state or a political subdivision of the state in effect at that time, the premises shall be deemed to satisfy the distance requirements for all subsequent renewals of the license or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