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86R23901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Parker, Shaheen, et al.</w:t>
      </w:r>
      <w:r xml:space="preserve">
        <w:tab wTab="150" tlc="none" cTlc="0"/>
      </w:r>
      <w:r>
        <w:t xml:space="preserve">H.B.</w:t>
      </w:r>
      <w:r xml:space="preserve">
        <w:t> </w:t>
      </w:r>
      <w:r>
        <w:t xml:space="preserve">No.</w:t>
      </w:r>
      <w:r xml:space="preserve">
        <w:t> </w:t>
      </w:r>
      <w:r>
        <w:t xml:space="preserve">3439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3439:</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3439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or county to require a labor peace agreement as a condition of engaging in a commercial transaction with the municipality or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PROHIBITION ON LABOR PEACE AGREEMENTS.  (a) </w:t>
      </w:r>
      <w:r>
        <w:rPr>
          <w:u w:val="single"/>
        </w:rPr>
        <w:t xml:space="preserve"> </w:t>
      </w:r>
      <w:r>
        <w:rPr>
          <w:u w:val="single"/>
        </w:rPr>
        <w:t xml:space="preserve">In this section, "labor peace agreement" means any agreement between a person and the employees of the person or an entity that represents or seeks to represent those employees that limits or otherwise interferes with the rights of the person under federal labor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not adopt or enforce an ordinance, order, or other measure that requires a person to enter into a labor peace agreement or to waive or limit any right of the person under federal labor law as a condition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being considered for or awarded a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engaging in a commercial transaction with the municipality or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