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submission of required jail reports.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511.0104 to read as follows:</w:t>
      </w:r>
    </w:p>
    <w:p w:rsidR="003F3435" w:rsidRDefault="0032493E">
      <w:pPr>
        <w:spacing w:line="480" w:lineRule="auto"/>
        <w:ind w:firstLine="720"/>
        <w:jc w:val="both"/>
      </w:pPr>
      <w:r>
        <w:rPr>
          <w:u w:val="single"/>
        </w:rPr>
        <w:t xml:space="preserve">Sect. 511.0104. ELECTRONIC SUBMISSION OF FORMS, DATA, AND DOCUMENTS. </w:t>
      </w:r>
      <w:r>
        <w:rPr>
          <w:u w:val="single"/>
        </w:rPr>
        <w:t xml:space="preserve"> </w:t>
      </w:r>
      <w:r>
        <w:rPr>
          <w:u w:val="single"/>
        </w:rPr>
        <w:t xml:space="preserve">(a)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establish a system for the submission of forms, data, and documents required to be submitted to the commission under this chapter in electronic format;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once that system is established, require facilities under the commission's purview to submit to the commission electronically and in electronic format any form, data, or document required to be submitted to the commission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may allow submission in a non-electronic format but shall set and collect a reasonable fee for processing.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