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86R24950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3441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3441:</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3441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reimbursement under certain health benefit plans for certain services and procedures performed by pharmacists.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1451, Insurance Code, is amended by adding Section 1451.1261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1451.1261.</w:t>
      </w:r>
      <w:r>
        <w:rPr>
          <w:u w:val="single"/>
        </w:rPr>
        <w:t xml:space="preserve"> </w:t>
      </w:r>
      <w:r>
        <w:rPr>
          <w:u w:val="single"/>
        </w:rPr>
        <w:t xml:space="preserve"> </w:t>
      </w:r>
      <w:r>
        <w:rPr>
          <w:u w:val="single"/>
        </w:rPr>
        <w:t xml:space="preserve">REIMBURSEMENT FOR CERTAIN SERVICES AND PROCEDURES PERFORMED BY PHARMACISTS.  (a) </w:t>
      </w:r>
      <w:r>
        <w:rPr>
          <w:u w:val="single"/>
        </w:rPr>
        <w:t xml:space="preserve"> </w:t>
      </w:r>
      <w:r>
        <w:rPr>
          <w:u w:val="single"/>
        </w:rPr>
        <w:t xml:space="preserve">Notwithstanding any other law, in addition to applying to a policy, agreement, or contract described by Section 1451.102, this section applies to any other individual or group health benefit plan that provides benefits described by Section 1451.102,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issued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maintenance organization operating under Chapter 843;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small employer health benefit plan subject to Chapter 1501;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state Medicaid program, including the Medicaid managed care program operated under Chapter 533, Government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1451.102, this section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or other health benefit plan issuer or a third-party administrator or pharmacy benefit manager of a health benefit plan may not deny reimbursement to a pharmacist for the provision of a service or procedure within the scope of the pharmacist's license to practice pharmacy under Subtitle J, Title 3, Occupations Code,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would be covered by the insurance policy or other coverage agreement if the service or procedure were provided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advanced practice nurse;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physician assistant;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performed by the pharmacist in strict compliance with laws and rules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provision of the service or procedure;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pharmacist's license.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require an insurer or other health benefit plan issuer or a third-party administrator or pharmacy benefit manager to reimburse a pharmacist or pharmacy as an in-network or preferred provider.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1451.1261, Insurance Code, as added by this Act, applies only to a health benefit plan that is delivered, issued for delivery, or renewed on or after January 1, 2020.  A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