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86R13525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whistleblower protection laws to certain appointed municipal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554.001(4),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"Public employee"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employee or appointed officer other than an independent contractor who is paid to perform services for a state or local governmental entity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appointed officer who is an independent contractor paid to perform services for a general-law municipality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report by a public employee of a violation of law that is made on or after the effective date of this Act.  A report by a public employee of a violation of law made before the effective date of this Act is governed by the law in effect when that report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