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86R1211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career and technology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in grades nine through 12 or in career and technology education programs for students with disabilities in grades seven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adjusted basic allotment multiplied by a weight of </w:t>
      </w:r>
      <w:r>
        <w:rPr>
          <w:u w:val="single"/>
        </w:rPr>
        <w:t xml:space="preserve">1.60</w:t>
      </w:r>
      <w:r>
        <w:t xml:space="preserve"> [</w:t>
      </w:r>
      <w:r>
        <w:rPr>
          <w:strike/>
        </w:rPr>
        <w:t xml:space="preserve">1.35</w:t>
      </w:r>
      <w:r>
        <w:t xml:space="preserve">]; and</w:t>
      </w:r>
    </w:p>
    <w:p w:rsidR="003F3435" w:rsidRDefault="0032493E">
      <w:pPr>
        <w:spacing w:line="480" w:lineRule="auto"/>
        <w:ind w:firstLine="1440"/>
        <w:jc w:val="both"/>
      </w:pPr>
      <w:r>
        <w:t xml:space="preserve">(2)</w:t>
      </w:r>
      <w:r xml:space="preserve">
        <w:t> </w:t>
      </w:r>
      <w:r xml:space="preserve">
        <w:t> </w:t>
      </w:r>
      <w:r>
        <w:t xml:space="preserve">$50, if the student is enrolled in two or more advanced career and technology education classes for a total of three or more credits.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