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86R23021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3457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3457:</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3457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costs of litigation and reasonable attorney fees in certain lawsuits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a plaintiff substantially prevails if the plaintiff obtains relief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judicial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enforceable written agreement or consent decree;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voluntary or unilateral change in position by the governmental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552.323(c), Government Code, as added by this Act, applies only to an action commenced on or after the effective date of this Act. </w:t>
      </w:r>
      <w:r>
        <w:t xml:space="preserve"> </w:t>
      </w:r>
      <w:r>
        <w:t xml:space="preserve">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