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3457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litigation costs and attorney fees in certain lawsuits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552.323 of the Texas Government Code is hereby amended to add section (c) and (d)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plaintiff has substantially prevailed if the plaintiff has obtained relief through either:</w:t>
      </w:r>
    </w:p>
    <w:p w:rsidR="003F3435" w:rsidRDefault="0032493E">
      <w:pPr>
        <w:spacing w:line="480" w:lineRule="auto"/>
        <w:ind w:firstLine="1440"/>
        <w:jc w:val="both"/>
      </w:pPr>
      <w:r>
        <w:rPr>
          <w:u w:val="single"/>
        </w:rPr>
        <w:t xml:space="preserve">(i)</w:t>
      </w:r>
      <w:r>
        <w:rPr>
          <w:u w:val="single"/>
        </w:rPr>
        <w:t xml:space="preserve"> </w:t>
      </w:r>
      <w:r>
        <w:rPr>
          <w:u w:val="single"/>
        </w:rPr>
        <w:t xml:space="preserve"> </w:t>
      </w:r>
      <w:r>
        <w:rPr>
          <w:u w:val="single"/>
        </w:rPr>
        <w:t xml:space="preserve">a judicial order, or an enforceable written agreement or consent decree; or</w:t>
      </w:r>
    </w:p>
    <w:p w:rsidR="003F3435" w:rsidRDefault="0032493E">
      <w:pPr>
        <w:spacing w:line="480" w:lineRule="auto"/>
        <w:ind w:firstLine="1440"/>
        <w:jc w:val="both"/>
      </w:pPr>
      <w:r>
        <w:rPr>
          <w:u w:val="single"/>
        </w:rPr>
        <w:t xml:space="preserve">(ii)</w:t>
      </w:r>
      <w:r>
        <w:rPr>
          <w:u w:val="single"/>
        </w:rPr>
        <w:t xml:space="preserve"> </w:t>
      </w:r>
      <w:r>
        <w:rPr>
          <w:u w:val="single"/>
        </w:rPr>
        <w:t xml:space="preserve"> </w:t>
      </w:r>
      <w:r>
        <w:rPr>
          <w:u w:val="single"/>
        </w:rPr>
        <w:t xml:space="preserve">a voluntary or unilateral change in position by the governmental body.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requestor who intervenes in a suit brought pursuant to Section 552.324 and seeks mandamus pursuant to Section 552.321(a) shall be subject to the standard for recovery of fees set out in subsection (a)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filed on or after the effective date of this Act. A suit filed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