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route designation for the issuance of a permit for the movement of oversize and overweight vehicles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623.219, Transportation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permit issued by a port authority contiguous to the Gulf of Mexico or a bay or inlet opening into the gulf with a population of not more than 200,000 that is adjacent to a county described in subsection (b), the commission shall, with the consent of the port authority, designate the most direct route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intersection of State Highway 35 and McCrosky Road in Matagorda County to the entrance of the Port of Palacios using State Highway 35;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intersection of State Highway 60 and Chalmers Road in Matagorda County to the entrance the Port of Palacios using State Highway 60;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intersection of Farm-to-Market Road 521 and Weathers Road in Matagorda County to the entrance of the Port of Palacios using FM 521;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intersection of State Highway 71 and Wind Road in Matagorda County to the entrance of the Port of Palacios using State Highway 71.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 of all the members elected to each house, as provided by Section 39, Article III, Texas Constitution. 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