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2019S0287-1  02/26/19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H.B.</w:t>
      </w:r>
      <w:r xml:space="preserve">
        <w:t> </w:t>
      </w:r>
      <w:r>
        <w:t xml:space="preserve">No.</w:t>
      </w:r>
      <w:r xml:space="preserve">
        <w:t> </w:t>
      </w:r>
      <w:r>
        <w:t xml:space="preserve">3463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Lubbock County Hospital District of Lubbock County, Texas, to employ physicians.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1053, Special District Local Laws Code, is amended by adding Section 1053.0601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1053.0601.</w:t>
      </w:r>
      <w:r>
        <w:rPr>
          <w:u w:val="single"/>
        </w:rPr>
        <w:t xml:space="preserve"> </w:t>
      </w:r>
      <w:r>
        <w:rPr>
          <w:u w:val="single"/>
        </w:rPr>
        <w:t xml:space="preserve"> </w:t>
      </w:r>
      <w:r>
        <w:rPr>
          <w:u w:val="single"/>
        </w:rPr>
        <w:t xml:space="preserve">EMPLOYMENT OF PHYSICIANS.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"Facility-based services" means emergency medicine, general hospital medicine, and radiology services provided at a hospital or other health care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health care facility" means an ambulatory surgical center, emergency center, cancer center, or imaging center operated separately from a hospital.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employ physicians as the board considers necessary to provide facility-based services at a hospital or other health care facility owned or operated by the district as provided by this section.  The board may retain all or part of the professional income generated by a physician employed by the district for such facility-based services if the board satisfies the requirements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 of an employment contract entered into under this section may not exceed five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construed as authorizing the board to supervise or control the practice of medicine, as prohibited by Subtitle B, Title 3, Occupations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authority granted to the board under Subsection (b) to employ physicians shall apply as necessary for the district to fulfill its statutory mandate to provide medical and hospital care for district residents, including needy and indigent residents, as provided by Sections 1053.101 and 1053.104.</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medical executive committee of the district shall adopt, maintain, and enforce policies and rules to ensure that a physician employed by the district exercises the physician's independent medical judgment in providing care to patients.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policies and rules adopted by the medical executive committee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policies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governance of the committee;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credentialing;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quality assurance;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utilization review;</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peer review;</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medical decision-making;</w:t>
      </w:r>
      <w:r>
        <w:t xml:space="preserve"> </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due process;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covenants not to compete that comply with Section 15.50, Business &amp; Commerce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rules requiring the disclosure of financial conflicts of interest by a member of the committee.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medical executive committee and the board shall jointly develop and implement a conflict management process to resolve any conflict between a policy or rule adopted by the committee under this section and a policy or rule of the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member of the medical executive committee who is a physician shall provide biennially to the chair of the committee a signed, verified statement indicating that the committee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licensed by the Texas Medical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exercise independent medical judgment in all committee matters, including matters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credentialing;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quality assurance;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utilization review;</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peer review;</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medical decision-making;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due process;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will exercise the committee member's best efforts to ensure compliance with the policies and rules that are adopted or established by the committee;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will report immediately to the Texas Medical Board any action or event that the committee member reasonably and in good faith believes constitutes a compromise of the independent medical judgment of a physician in caring for a patient.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all matters relating to the practice of medicine, each physician employed by the district shall ultimately report to the chair of the medical executive committee.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