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86R7680 SRS-D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Sanford</w:t>
      </w:r>
      <w:r xml:space="preserve">
        <w:tab wTab="150" tlc="none" cTlc="0"/>
      </w:r>
      <w:r>
        <w:t xml:space="preserve">H.B.</w:t>
      </w:r>
      <w:r xml:space="preserve">
        <w:t> </w:t>
      </w:r>
      <w:r>
        <w:t xml:space="preserve">No.</w:t>
      </w:r>
      <w:r xml:space="preserve">
        <w:t> </w:t>
      </w:r>
      <w:r>
        <w:t xml:space="preserve">3466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procedures for requiring an independent school district to conduct an efficiency audit.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11, Education Code, is amended by adding Section 11.184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11.184.</w:t>
      </w:r>
      <w:r>
        <w:rPr>
          <w:u w:val="single"/>
        </w:rPr>
        <w:t xml:space="preserve"> </w:t>
      </w:r>
      <w:r>
        <w:rPr>
          <w:u w:val="single"/>
        </w:rPr>
        <w:t xml:space="preserve"> </w:t>
      </w:r>
      <w:r>
        <w:rPr>
          <w:u w:val="single"/>
        </w:rPr>
        <w:t xml:space="preserve">EFFICIENCY AUDIT.  (a)  For purposes of this section, "efficiency audit" means an investigation of the operations of an independent school district to examine fiscal management and efficiency.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of trustees of an independent school district shall conduct an efficiency audit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petition requesting the board to conduct an efficiency audit for the district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signed not more than 90 days before the date of submission by at least 10 percent of the voters who voted in the most recent election of the board of trustees of the school district;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submitted to and verified by the board of trustees of the school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majority of the voters voting in the election under Subsection (c) approve the conducting of the efficiency audit.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board of trustees of an independent school district determines the petition satisfies the requirements of Subsection (b)(1)(A) and determines not to conduct an efficiency audit, the board of trustees shall order an election to be held in the district on the first uniform election date that allows sufficient time to comply with other requirements of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ballot in an election to authorize an efficiency audit under this section shall be printed to permit voting for or against the proposition:  "Requiring _________ Independent School District to conduct an efficiency audit."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independent school district shall pay for an efficiency audit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