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86R13800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movement of certain vehicles transporting an intermodal shipping container on a road or bridge for which a maximum weight or load has been established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623.405(a), Transportation Code, as added by Chapter 108 (S.B. 1524),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permit issued under this subchapter does not authorize the operation of a truck-tractor and semitrailer combination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national system of interstate and defense highways;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load-restricted roads or bridges, including a road or bridge for which a maximum weight and load limit has been established and posted by the Texas Department of Transportation under Section 621.102</w:t>
      </w:r>
      <w:r>
        <w:rPr>
          <w:u w:val="single"/>
        </w:rPr>
        <w:t xml:space="preserve">, the governing body of a municipality under Section 621.303,</w:t>
      </w:r>
      <w:r>
        <w:t xml:space="preserve"> or the commissioners court of a county under Section 621.301.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621.303(b),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