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86R11615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disclosure of the composition of fluids and materials transported by pipelines regulated by the Railroad Commission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S, Chapter 91, Natural Resources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S. DISCLOSURE OF COMPOSITION OF [</w:t>
      </w:r>
      <w:r>
        <w:rPr>
          <w:strike/>
        </w:rPr>
        <w:t xml:space="preserve">HYDRAULIC FRACTURING</w:t>
      </w:r>
      <w:r>
        <w:t xml:space="preserve">] FLUIDS </w:t>
      </w:r>
      <w:r>
        <w:rPr>
          <w:u w:val="single"/>
        </w:rPr>
        <w:t xml:space="preserve">AND MATERIALS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S, Chapter 91, Natural Resources Code, is amended by adding Section 91.852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91.852.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COMPOSITION OF FLUIDS AND MATERIALS IN PIPELINES.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by rule shall require a holder of a permit or registration for a pipeline under the jurisdiction of the commission's pipeline safety and regulatory program to provide to the commission a list of the fluids and materials transported by the pipeline.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 a standard reporting form to be used for the purposes of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 lists received under this section on the commission's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