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86R9759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3481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investigation of fraud, waste, and abuse in Medicaid managed care by the Health and Human Services Commission's office of inspector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531.102, Government Code, is amended by adding Subsection (z) to read as follows: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office shall develop a process to allow health care facilities, including hospitals, and other providers to report fraud, waste, and abuse to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531, Government Code, is amended by adding Section 531.1134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531.1134.</w:t>
      </w:r>
      <w:r>
        <w:rPr>
          <w:u w:val="single"/>
        </w:rPr>
        <w:t xml:space="preserve"> </w:t>
      </w:r>
      <w:r>
        <w:rPr>
          <w:u w:val="single"/>
        </w:rPr>
        <w:t xml:space="preserve"> </w:t>
      </w:r>
      <w:r>
        <w:rPr>
          <w:u w:val="single"/>
        </w:rPr>
        <w:t xml:space="preserve">INVESTIGATIONS OF FRAUD, WASTE, AND ABUSE IN MEDICAID MANAGED CARE.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w:t>
      </w:r>
      <w:r>
        <w:rPr>
          <w:u w:val="single"/>
        </w:rPr>
        <w:t xml:space="preserve"> </w:t>
      </w:r>
      <w:r>
        <w:rPr>
          <w:u w:val="single"/>
        </w:rPr>
        <w:t xml:space="preserve">means the commission's office of inspector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"Potentially preventable event" has the meaning assigned by Section 536.001.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investigate the source of fraud, waste, and abuse in Medicaid managed care contracts and whether the fraud, waste, or abuse was committed by a Medicaid recipient, a provider, a Medicaid managed care organization by denying services, or a hospital by contributing to a potentially preventable event.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investigate or intervene in the office's investigation of a Medicaid managed care organization that is identified as an outlier among other Medicaid managed care organizations regarding rates of denial of services based on medical necessity.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conduct a fiscal analysis of abuse in quality-based payment outcome and process measures, including potentially preventable events caused by a Medicaid managed care organization's routine denial of care based on medical necessity.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periodically report to the commission the outcomes of Medicaid managed care program investigations conducted by the office.  The office may combine the report required by this subsection with a report required by Section 531.102(j).</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prepare and submit to the commission and the legislature a quarterly report recommending enforcement actions for the Medicaid managed care program. The commission and the office shall post each report on their respective Internet websites. The office may combine the report required by this subsection with the report required by Section 531.102(t).</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