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86R7807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3482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centers of excellence for the early diagnosis and treatment of placental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E to read as follows:</w:t>
      </w:r>
    </w:p>
    <w:p w:rsidR="003F3435" w:rsidRDefault="0032493E">
      <w:pPr>
        <w:spacing w:line="480" w:lineRule="auto"/>
        <w:jc w:val="center"/>
      </w:pPr>
      <w:r>
        <w:rPr>
          <w:u w:val="single"/>
        </w:rPr>
        <w:t xml:space="preserve">SUBCHAPTER E.  CENTERS OF EXCELLENCE FOR EARLY DIAGNOSIS AND TREATMENT OF PLACENTAL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w:t>
      </w:r>
      <w:r>
        <w:rPr>
          <w:u w:val="single"/>
        </w:rPr>
        <w:t xml:space="preserve"> </w:t>
      </w:r>
      <w:r>
        <w:rPr>
          <w:u w:val="single"/>
        </w:rPr>
        <w:t xml:space="preserve"> </w:t>
      </w:r>
      <w:r>
        <w:rPr>
          <w:u w:val="single"/>
        </w:rPr>
        <w:t xml:space="preserve">DEFINITION.  In this subchapter, "placental disorder" includes placenta accreta, placenta increta, and placenta percreta.</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w:t>
      </w:r>
      <w:r>
        <w:rPr>
          <w:u w:val="single"/>
        </w:rPr>
        <w:t xml:space="preserve"> </w:t>
      </w:r>
      <w:r>
        <w:rPr>
          <w:u w:val="single"/>
        </w:rPr>
        <w:t xml:space="preserve"> </w:t>
      </w:r>
      <w:r>
        <w:rPr>
          <w:u w:val="single"/>
        </w:rPr>
        <w:t xml:space="preserve">DESIGNATION OF CENTERS OF EXCELLENCE.  (a)  The department, in consultation with the maternal mortality and morbidity task force established under Chapter 34, shall designate as centers of excellence for the early diagnosis and treatment of placental disorders one or more health care entities or programs in this state, including institutions of higher education or programs of those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in consultation with the department and the maternal mortality and morbidity task force, shall adopt rules necessary for a health care entity or program in this state to be designated as a center of excellence for early diagnosis and treatment of placental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32.103.</w:t>
      </w:r>
      <w:r>
        <w:rPr>
          <w:u w:val="single"/>
        </w:rPr>
        <w:t xml:space="preserve"> </w:t>
      </w:r>
      <w:r>
        <w:rPr>
          <w:u w:val="single"/>
        </w:rPr>
        <w:t xml:space="preserve"> </w:t>
      </w:r>
      <w:r>
        <w:rPr>
          <w:u w:val="single"/>
        </w:rPr>
        <w:t xml:space="preserve">SUBCOMMITTEE.  (a)  The department, in consultation with the maternal mortality and morbidity task force, shall appoint a subcommittee of the task force to advise the executive commissioner on the adoption of rules under Section 32.102.  As part of the subcommittee's duties under this subsection, the subcommittee specifically shall advise the executive commissioner on the criteria necessary for a health care entity or program in this state to receive a designation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subcommittee must consist of individuals with expertise in the early diagnosis and treatment of placental disorders.  A majority of the members of the subcommittee must practice in those areas in a health profession in this state.  The subcommittee may include national and international experts.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32.104.</w:t>
      </w:r>
      <w:r>
        <w:rPr>
          <w:u w:val="single"/>
        </w:rPr>
        <w:t xml:space="preserve"> </w:t>
      </w:r>
      <w:r>
        <w:rPr>
          <w:u w:val="single"/>
        </w:rPr>
        <w:t xml:space="preserve"> </w:t>
      </w:r>
      <w:r>
        <w:rPr>
          <w:u w:val="single"/>
        </w:rPr>
        <w:t xml:space="preserve">PRIORITY CONSIDERATIONS FOR CENTER DESIGNATIONS. </w:t>
      </w:r>
      <w:r>
        <w:rPr>
          <w:u w:val="single"/>
        </w:rPr>
        <w:t xml:space="preserve"> </w:t>
      </w:r>
      <w:r>
        <w:rPr>
          <w:u w:val="single"/>
        </w:rPr>
        <w:t xml:space="preserve">The rules adopted under Section 32.102 must prioritize awarding a designation under this subchapter to a health care entity or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early diagnosis and treatment services for placental disorders through a multi-specialty clinical program that is affiliated and collaborates extensively with a medical school in this state and an associated hospital that provides advanced maternal and neonatal care in accordance with the hospital's level of care designation received under Section 241.182;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a significant commitment to research in and advancing the field of placental disorder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offers advanced training programs in the early diagnosis and treatment of placental disorders;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integrates an advanced placental disorder care program with a program that provides appropriate long-term monitoring and follow-up care for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32.105.</w:t>
      </w:r>
      <w:r>
        <w:rPr>
          <w:u w:val="single"/>
        </w:rPr>
        <w:t xml:space="preserve"> </w:t>
      </w:r>
      <w:r>
        <w:rPr>
          <w:u w:val="single"/>
        </w:rPr>
        <w:t xml:space="preserve"> </w:t>
      </w:r>
      <w:r>
        <w:rPr>
          <w:u w:val="single"/>
        </w:rPr>
        <w:t xml:space="preserve">REQUIREMENTS FOR DESIGNATION.  The rules adopted under Section 32.102 must ensure that a health care entity or program in this state that receives a center of excellence designation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or is affiliated with a hospital that provides advanced maternal and neonatal care in accordance with the hospital's level of care designation received under Section 241.182;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implements and maintains a multidisciplinary health care team, including maternal fetal medicine specialists, pediatric and surgical specialists, neonatologists, nurses with specialized maternal and neonatal training, and other ancillary and support staff as appropriate to provide care related to placental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establishes minimum criteria for medical staff, nursing staff, and ancillary and support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measures short-term and long-term patient diagnostic and therapeutic outcomes;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to the department annual reports containing aggregate data on short-term and long-term diagnostic and therapeutic outcomes as requested or required by the department and makes those reports available to the public on the entity's or program's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December 1, 2019, the Department of State Health Services, in consultation with the maternal mortality and morbidity task force established under Chapter 34, Health and Safety Code, shall appoint members to the subcommittee as required by Section 32.103,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2020, the executive commissioner of the Health and Human Services Commission shall adopt rules as required by Section 32.102,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2021, the Department of State Health Services shall begin awarding designations of centers of excellence as required by Subchapter E, Chapter 32,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