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86R11911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Romero, Jr.</w:t>
      </w:r>
      <w:r xml:space="preserve">
        <w:tab wTab="150" tlc="none" cTlc="0"/>
      </w:r>
      <w:r>
        <w:t xml:space="preserve">H.B.</w:t>
      </w:r>
      <w:r xml:space="preserve">
        <w:t> </w:t>
      </w:r>
      <w:r>
        <w:t xml:space="preserve">No.</w:t>
      </w:r>
      <w:r xml:space="preserve">
        <w:t> </w:t>
      </w:r>
      <w:r>
        <w:t xml:space="preserve">3483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donation of alcoholic beverages for use in a fund-raiser for a nonprofit entity.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109, Alcoholic Beverage Code, is amended by adding Section 109.581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109.581.</w:t>
      </w:r>
      <w:r>
        <w:rPr>
          <w:u w:val="single"/>
        </w:rPr>
        <w:t xml:space="preserve"> </w:t>
      </w:r>
      <w:r>
        <w:rPr>
          <w:u w:val="single"/>
        </w:rPr>
        <w:t xml:space="preserve"> </w:t>
      </w:r>
      <w:r>
        <w:rPr>
          <w:u w:val="single"/>
        </w:rPr>
        <w:t xml:space="preserve">DONATING ALCOHOL FOR CHARITABLE EVENT.  (a)  A manufacturer or wholesaler of alcoholic beverages may donate alcoholic beverages to a nonprofit entity for a charitable fund-raising event for the entity held on the premises of a permitted or licensed retailer who is hosting the event.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retailer hosting the charitable event for the nonprofit entity may not charge a fee for the alcoholic beverages at the event but the nonprofit entity may charge a fee to attend the event.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Alcoholic beverages donated by a manufacturer or wholesaler under this section must be delivered to the nonprofit entity or the nonprofit entity may pick up the alcoholic beverages and transport them to the retailer's permitted or licensed premises.  The nonprofit entity shall remove any remaining alcoholic beverages from the retailer's premises immediately after the charitable event.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nonprofit entity receiving alcoholic beverages from a manufacturer or wholesaler shall provide the following information to the commission on a form adopted by the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nonprofit 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of the charitable event;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location of the charitable event;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dollar value of the donated alcoholic beverages;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itemized list of the alcoholic beverages donated;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name of the manufacturer or wholesaler making the donation.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manufacturer or wholesaler of alcoholic beverages may not donate more than $5,000 worth of alcoholic beverages to a nonprofit entity for each charitable event.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permitted or licensed retailer may not host more than 12 charitable events under this section in a calendar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